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000" w:after="0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>
          <w:rFonts w:eastAsia="Arial" w:cs="Arial"/>
          <w:b/>
          <w:bCs/>
          <w:caps/>
          <w:color w:val="2D5BE3"/>
          <w:sz w:val="20"/>
          <w:szCs w:val="20"/>
        </w:rPr>
        <w:t>DEPION TECNOLOGIA</w:t>
      </w:r>
    </w:p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olor w:val="1A1A1A"/>
          <w:sz w:val="44"/>
          <w:szCs w:val="44"/>
        </w:rPr>
        <w:t>Termos de Uso</w:t>
      </w:r>
    </w:p>
    <w:p>
      <w:pPr>
        <w:pStyle w:val="Normal"/>
        <w:spacing w:before="0" w:after="120"/>
        <w:jc w:val="center"/>
        <w:rPr/>
      </w:pPr>
      <w:r>
        <w:rPr>
          <w:rFonts w:eastAsia="Arial" w:cs="Arial"/>
          <w:i/>
          <w:iCs/>
          <w:color w:val="888888"/>
          <w:sz w:val="24"/>
          <w:szCs w:val="24"/>
        </w:rPr>
        <w:t>Plataforma Cypher - Analise de NF-e e Antecipacao de Recebiveis</w:t>
      </w:r>
    </w:p>
    <w:p>
      <w:pPr>
        <w:pStyle w:val="Normal"/>
        <w:spacing w:before="0" w:after="60"/>
        <w:jc w:val="center"/>
        <w:rPr/>
      </w:pPr>
      <w:r>
        <w:rPr>
          <w:rFonts w:eastAsia="Arial" w:cs="Arial"/>
          <w:color w:val="AAAAAA"/>
          <w:sz w:val="20"/>
          <w:szCs w:val="20"/>
        </w:rPr>
        <w:t>Versao 1.0  -  26 de junho de 2026</w:t>
      </w:r>
    </w:p>
    <w:p>
      <w:pPr>
        <w:pStyle w:val="Normal"/>
        <w:spacing w:before="0" w:after="0"/>
        <w:jc w:val="center"/>
        <w:rPr/>
      </w:pPr>
      <w:r>
        <w:rPr>
          <w:rFonts w:eastAsia="Arial" w:cs="Arial"/>
          <w:color w:val="AAAAAA"/>
          <w:sz w:val="20"/>
          <w:szCs w:val="20"/>
        </w:rPr>
        <w:t>Sao Jose dos Campos, SP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1. Identificacao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 plataforma Cypher e um produto desenvolvido e operado pela Depion Tecnologia, empresa em processo de formalizacao, com sede em Sao Jose dos Campos, SP, Brasil ("Depion" ou "nos").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Contato: contato@depion.com.br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2. Aceite dos Termos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Ao acessar ou utilizar a plataforma Cypher, a empresa cliente ("Usuario Corporativo") declara ter lido, compreendido e concordado integralmente com estes Termos de Uso, que constituem um contrato vinculante entre a empresa contratante e a Depion.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Caso a empresa nao concorde com estes termos, o acesso a plataforma deve ser imediatamente encerrado.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3. Descricao da Plataforma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O Cypher e uma plataforma B2B destinada exclusivamente a pessoas juridicas, que oferece:</w:t>
      </w:r>
    </w:p>
    <w:p>
      <w:pPr>
        <w:pStyle w:val="ListParagraph"/>
        <w:numPr>
          <w:ilvl w:val="0"/>
          <w:numId w:val="3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Analise e processamento de Notas Fiscais Eletronicas (NF-e)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Avaliacao de risco de recebiveis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Suporte a operacoes de antecipacao de recebiveis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Dashboards e relatorios financeiros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 plataforma integra-se com a SEFAZ e com parceiros especializados em bureaus de credito para a prestacao dos servicos acima descritos.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4. Elegibilidade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O acesso ao Cypher e restrito a: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Pessoas juridicas regularmente constituidas no Brasil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Representantes legais ou pessoas autorizadas pela empresa contratante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E vedado o uso da plataforma por pessoas fisicas em nome proprio ou por empresas irregulares.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5. Cadastro e Conta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Para utilizar o Cypher, o Usuario Corporativo deve: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Fornecer dados cadastrais verdadeiros, completos e atualizados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Informar CNPJ valido e documentacao societaria quando solicitado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Manter as credenciais de acesso sob sigilo e responsabilidade exclusiva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 Depion reserva-se o direito de suspender ou encerrar contas com dados incorretos, incompletos ou suspeitos de uso indevido.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6. Licenca de Uso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 Depion concede ao Usuario Corporativo uma licenca limitada, nao exclusiva, intransferivel e revogavel para acessar e utilizar a plataforma Cypher, exclusivamente para fins internos da empresa contratante.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E expressamente vedado: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Sublicenciar, vender, revender ou transferir o acesso a terceiros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Realizar engenharia reversa, descompilar ou extrair o codigo-fonte da plataforma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Utilizar a plataforma para fins ilicitos ou contrarios a estes termos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Automatizar o acesso sem autorizacao expressa da Depion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7. Dados Processados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 plataforma processa dados sensiveis de natureza fiscal e financeira, incluindo: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Chaves de acesso e conteudo de Notas Fiscais Eletronicas (NF-e)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CNPJ da empresa e de seus fornecedores/clientes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Dados financeiros de recebiveis e operacoes comerciais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O tratamento desses dados e regulado pela Politica de Privacidade da Plataforma Cypher, que compoe parte integrante destes Termos.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8. Integracoes com Terceiros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O Cypher integra-se com os seguintes servicos de terceiros para viabilizar suas funcionalidades: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SEFAZ - Secretaria da Fazenda, para consulta e validacao de NF-e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Bureaus de credito parceiros - para avaliacao de risco de recebiveis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O Usuario Corporativo autoriza expressamente a Depion a transmitir os dados necessarios a esses parceiros para a prestacao dos servicos contratados, conforme detalhado na Politica de Privacidade.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9. Disponibilidade e SLA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 Depion envidara seus melhores esforcos para manter a plataforma disponivel. Contudo, nao garante disponibilidade ininterrupta e nao se responsabiliza por: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Indisponibilidades decorrentes de manutencoes programadas ou emergenciais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Falhas nos servicos da SEFAZ ou de parceiros externos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Eventos de forca maior ou caso fortuito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Eventuais SLAs especificos poderao ser acordados em contrato separado.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10. Responsabilidade do Usuario Corporativo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O Usuario Corporativo e integralmente responsavel por: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A veracidade e legalidade dos dados inseridos na plataforma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O uso da plataforma em conformidade com a legislação vigente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Decisoes financeiras tomadas com base nas analises fornecidas pela plataforma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 Depion fornece informacoes e analises como suporte a decisao, nao substituindo a avaliacao juridica, contabil ou financeira especializada.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11. Limitacao de Responsabilidade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Na maxima extensao permitida pela lei, a Depion nao se responsabiliza por: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Perdas financeiras decorrentes de decisoes tomadas com base nas analises da plataforma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Danos indiretos, lucros cessantes ou danos emergentes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Informacoes desatualizadas oriundas de bases de dados de terceiros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 responsabilidade total da Depion, em qualquer circunstancia, esta limitada ao valor pago pelo Usuario Corporativo nos ultimos 3 meses de uso da plataforma.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12. Confidencialidade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As partes comprometem-se a manter em sigilo todas as informacoes confidenciais trocadas no contexto do uso da plataforma, incluindo dados operacionais, financeiros e estrategicos.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Esta obrigacao persiste por 2 anos apos o encerramento do contrato.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13. Vigencia e Rescisao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Estes Termos vigoram por prazo indeterminado a partir da aceitacao. O contrato pode ser rescindido: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Pelo Usuario Corporativo, a qualquer momento, mediante notificacao com 30 dias de antecedencia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Pela Depion, em caso de descumprimento destes Termos, com efeito imediato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/>
          <w:color w:val="4A4A4A"/>
          <w:sz w:val="22"/>
          <w:szCs w:val="22"/>
        </w:rPr>
        <w:t>Por ambas as partes, mediante acordo mutuo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Em caso de rescisao, os dados do Usuario Corporativo serao retidos por 90 dias para fins de portabilidade e, apos, eliminados conforme a Politica de Privacidade.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14. Propriedade Intelectual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Todo o codigo-fonte, interfaces, algoritmos, modelos de analise e demais elementos da plataforma Cypher sao de propriedade exclusiva da Depion, protegidos pelas leis de propriedade intelectual brasileiras.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15. Modificacoes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A Depion pode atualizar estes Termos a qualquer momento. Alteracoes substanciais serao comunicadas com pelo menos 15 dias de antecedencia por e-mail. O uso continuado da plataforma apos a vigencia das alteracoes implica aceitacao.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Heading1"/>
        <w:spacing w:before="320" w:after="120"/>
        <w:rPr/>
      </w:pPr>
      <w:r>
        <w:rPr>
          <w:rFonts w:eastAsia="Arial" w:cs="Arial" w:ascii="Arial" w:hAnsi="Arial"/>
          <w:b/>
          <w:bCs/>
          <w:color w:val="1A1A1A"/>
          <w:sz w:val="28"/>
          <w:szCs w:val="28"/>
        </w:rPr>
        <w:t>16. Lei Aplicavel e Foro</w:t>
      </w:r>
    </w:p>
    <w:p>
      <w:pPr>
        <w:pStyle w:val="Normal"/>
        <w:spacing w:before="60" w:after="60"/>
        <w:rPr/>
      </w:pPr>
      <w:r>
        <w:rPr>
          <w:rFonts w:eastAsia="Arial" w:cs="Arial"/>
          <w:color w:val="4A4A4A"/>
          <w:sz w:val="22"/>
          <w:szCs w:val="22"/>
        </w:rPr>
        <w:t>Estes Termos sao regidos pelas leis brasileiras. As partes elegem o foro da Comarca de Sao Jose dos Campos, SP, para dirimir quaisquer controversias, renunciando a qualquer outro foro, por mais privilegiado que seja.</w:t>
      </w:r>
    </w:p>
    <w:p>
      <w:pPr>
        <w:pStyle w:val="Normal"/>
        <w:pBdr>
          <w:bottom w:val="single" w:sz="4" w:space="1" w:color="E8E8E4"/>
        </w:pBdr>
        <w:spacing w:before="160" w:after="160"/>
        <w:rPr/>
      </w:pPr>
      <w:r>
        <w:rPr/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888888"/>
          <w:sz w:val="20"/>
          <w:szCs w:val="20"/>
        </w:rPr>
        <w:t>Ultima atualizacao: 26 de junho de 2026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9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4A4A4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4A4A4A"/>
      <w:kern w:val="0"/>
      <w:sz w:val="22"/>
      <w:szCs w:val="22"/>
      <w:lang w:val="pt-BR" w:eastAsia="zh-CN" w:bidi="hi-IN"/>
    </w:rPr>
  </w:style>
  <w:style w:type="paragraph" w:styleId="Heading1">
    <w:name w:val="Heading 1"/>
    <w:basedOn w:val="Ttulo"/>
    <w:qFormat/>
    <w:pPr>
      <w:spacing w:before="320" w:after="120"/>
      <w:outlineLvl w:val="0"/>
    </w:pPr>
    <w:rPr>
      <w:rFonts w:ascii="Arial" w:hAnsi="Arial" w:eastAsia="Arial" w:cs="Arial"/>
      <w:b/>
      <w:bCs/>
      <w:color w:val="1A1A1A"/>
      <w:sz w:val="28"/>
      <w:szCs w:val="28"/>
    </w:rPr>
  </w:style>
  <w:style w:type="paragraph" w:styleId="Heading2">
    <w:name w:val="Heading 2"/>
    <w:basedOn w:val="Ttulo"/>
    <w:qFormat/>
    <w:pPr>
      <w:spacing w:before="240" w:after="80"/>
      <w:outlineLvl w:val="1"/>
    </w:pPr>
    <w:rPr>
      <w:rFonts w:ascii="Arial" w:hAnsi="Arial" w:eastAsia="Arial" w:cs="Arial"/>
      <w:b/>
      <w:bCs/>
      <w:color w:val="2D5BE3"/>
      <w:sz w:val="24"/>
      <w:szCs w:val="24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4A4A4A"/>
      <w:kern w:val="0"/>
      <w:sz w:val="22"/>
      <w:szCs w:val="22"/>
      <w:lang w:val="pt-B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4A4A4A"/>
      <w:kern w:val="0"/>
      <w:sz w:val="22"/>
      <w:szCs w:val="22"/>
      <w:lang w:val="pt-B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5</Pages>
  <Words>910</Words>
  <Characters>5245</Characters>
  <CharactersWithSpaces>6046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2026-06-26T13:44:49Z</dcterms:created>
  <dc:creator>Un-named</dc:creator>
  <dc:description/>
  <dc:language>pt-BR</dc:language>
  <cp:lastModifiedBy/>
  <dcterms:modified xsi:type="dcterms:W3CDTF">2026-06-26T10:57:22Z</dcterms:modified>
  <cp:revision>2</cp:revision>
  <dc:subject/>
  <dc:title/>
</cp:coreProperties>
</file>